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1C2EF0F3"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#103</w:t>
      </w:r>
      <w:r w:rsidR="00FC24A4">
        <w:rPr>
          <w:rFonts w:cs="Arial"/>
          <w:b/>
          <w:sz w:val="24"/>
          <w:szCs w:val="24"/>
        </w:rPr>
        <w:t>bis</w:t>
      </w:r>
      <w:r w:rsidR="00FA260E" w:rsidRPr="007D3E81">
        <w:rPr>
          <w:rFonts w:cs="Arial"/>
          <w:b/>
          <w:sz w:val="24"/>
          <w:szCs w:val="24"/>
        </w:rPr>
        <w:tab/>
      </w:r>
      <w:r w:rsidR="00FA260E" w:rsidRPr="00F36EF3">
        <w:rPr>
          <w:rFonts w:eastAsia="宋体" w:cs="Arial"/>
          <w:b/>
          <w:sz w:val="24"/>
          <w:szCs w:val="24"/>
          <w:lang w:eastAsia="zh-CN"/>
        </w:rPr>
        <w:t>R2-18</w:t>
      </w:r>
      <w:r w:rsidR="00B24C5F">
        <w:rPr>
          <w:rFonts w:eastAsia="宋体" w:cs="Arial"/>
          <w:b/>
          <w:sz w:val="24"/>
          <w:szCs w:val="24"/>
          <w:lang w:eastAsia="zh-CN"/>
        </w:rPr>
        <w:t>13891</w:t>
      </w:r>
    </w:p>
    <w:p w14:paraId="57FB1393" w14:textId="77777777" w:rsidR="00FA260E" w:rsidRPr="00483CF3" w:rsidRDefault="00FC24A4" w:rsidP="00FA260E">
      <w:pPr>
        <w:pStyle w:val="CRCoverPage"/>
        <w:tabs>
          <w:tab w:val="right" w:pos="9639"/>
          <w:tab w:val="right" w:pos="13323"/>
        </w:tabs>
        <w:spacing w:after="0"/>
        <w:rPr>
          <w:rFonts w:cs="Arial"/>
          <w:lang w:eastAsia="zh-CN"/>
        </w:rPr>
      </w:pPr>
      <w:r w:rsidRPr="00FC24A4">
        <w:rPr>
          <w:rFonts w:cs="Arial"/>
          <w:b/>
          <w:noProof/>
          <w:sz w:val="24"/>
          <w:szCs w:val="24"/>
        </w:rPr>
        <w:t>Chengdu, China, 8 – 12 October 2018</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DBAACDD"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Pr="00814065">
        <w:rPr>
          <w:rFonts w:ascii="Arial" w:hAnsi="Arial" w:cs="Arial"/>
          <w:sz w:val="24"/>
          <w:szCs w:val="24"/>
          <w:lang w:eastAsia="zh-CN"/>
        </w:rPr>
        <w:t>1</w:t>
      </w:r>
      <w:r w:rsidR="00B24C5F">
        <w:rPr>
          <w:rFonts w:ascii="Arial" w:hAnsi="Arial" w:cs="Arial"/>
          <w:sz w:val="24"/>
          <w:szCs w:val="24"/>
          <w:lang w:eastAsia="zh-CN"/>
        </w:rPr>
        <w:t>1.6</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7CD35148"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452F6A" w:rsidRPr="00452F6A">
        <w:rPr>
          <w:rFonts w:ascii="Arial" w:hAnsi="Arial" w:cs="Arial"/>
          <w:sz w:val="24"/>
          <w:szCs w:val="24"/>
        </w:rPr>
        <w:t>Consideration on the impact of rapid mo</w:t>
      </w:r>
      <w:bookmarkStart w:id="4" w:name="_GoBack"/>
      <w:bookmarkEnd w:id="4"/>
      <w:r w:rsidR="00452F6A" w:rsidRPr="00452F6A">
        <w:rPr>
          <w:rFonts w:ascii="Arial" w:hAnsi="Arial" w:cs="Arial"/>
          <w:sz w:val="24"/>
          <w:szCs w:val="24"/>
        </w:rPr>
        <w:t>tion of satellite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77777777" w:rsidR="005C200E" w:rsidRDefault="00693B1B" w:rsidP="005C200E">
      <w:pPr>
        <w:rPr>
          <w:bCs/>
          <w:lang w:eastAsia="zh-CN"/>
        </w:rPr>
      </w:pPr>
      <w:r>
        <w:rPr>
          <w:bCs/>
          <w:lang w:eastAsia="zh-CN"/>
        </w:rPr>
        <w:t>In the RAN plenary #80 meeting,</w:t>
      </w:r>
      <w:r w:rsidR="005C200E">
        <w:rPr>
          <w:bCs/>
          <w:lang w:eastAsia="zh-CN"/>
        </w:rPr>
        <w:t xml:space="preserve"> a new RAN3 SI on “</w:t>
      </w:r>
      <w:r w:rsidR="005C200E" w:rsidRPr="00563160">
        <w:rPr>
          <w:bCs/>
          <w:lang w:eastAsia="zh-CN"/>
        </w:rPr>
        <w:t>solutions evaluation for NR to support Non Terrestrial Network</w:t>
      </w:r>
      <w:r w:rsidR="005C200E">
        <w:rPr>
          <w:bCs/>
          <w:lang w:eastAsia="zh-CN"/>
        </w:rPr>
        <w:t>” was approved [</w:t>
      </w:r>
      <w:r w:rsidR="00E16156">
        <w:rPr>
          <w:bCs/>
          <w:lang w:eastAsia="zh-CN"/>
        </w:rPr>
        <w:t>1</w:t>
      </w:r>
      <w:r w:rsidR="005C200E">
        <w:rPr>
          <w:bCs/>
          <w:lang w:eastAsia="zh-CN"/>
        </w:rPr>
        <w:t>]</w:t>
      </w:r>
      <w:r>
        <w:rPr>
          <w:bCs/>
          <w:lang w:eastAsia="zh-CN"/>
        </w:rPr>
        <w:t>.</w:t>
      </w:r>
      <w:r w:rsidR="005C200E">
        <w:rPr>
          <w:bCs/>
          <w:lang w:eastAsia="zh-CN"/>
        </w:rPr>
        <w:t xml:space="preserve"> The objectives of the SI for </w:t>
      </w:r>
      <w:r w:rsidR="005C200E" w:rsidRPr="00563160">
        <w:rPr>
          <w:bCs/>
          <w:i/>
          <w:lang w:eastAsia="zh-CN"/>
        </w:rPr>
        <w:t>Layer 2 and above, and RAN architecture</w:t>
      </w:r>
      <w:r w:rsidR="005C200E">
        <w:rPr>
          <w:bCs/>
          <w:i/>
          <w:lang w:eastAsia="zh-CN"/>
        </w:rPr>
        <w:t xml:space="preserve"> </w:t>
      </w:r>
      <w:r w:rsidR="005C200E">
        <w:rPr>
          <w:bCs/>
          <w:lang w:eastAsia="zh-CN"/>
        </w:rPr>
        <w:t>are reported as follows:</w:t>
      </w:r>
    </w:p>
    <w:p w14:paraId="37F52480" w14:textId="77777777" w:rsidR="005C200E" w:rsidRPr="00693B1B" w:rsidRDefault="005C200E" w:rsidP="005C200E">
      <w:pPr>
        <w:numPr>
          <w:ilvl w:val="0"/>
          <w:numId w:val="19"/>
        </w:numPr>
        <w:overflowPunct w:val="0"/>
        <w:autoSpaceDE w:val="0"/>
        <w:autoSpaceDN w:val="0"/>
        <w:adjustRightInd w:val="0"/>
        <w:spacing w:after="0"/>
        <w:textAlignment w:val="baseline"/>
        <w:rPr>
          <w:bCs/>
          <w:i/>
          <w:highlight w:val="yellow"/>
        </w:rPr>
      </w:pPr>
      <w:r w:rsidRPr="00693B1B">
        <w:rPr>
          <w:rFonts w:eastAsia="PMingLiU"/>
          <w:i/>
          <w:highlight w:val="yellow"/>
          <w:lang w:eastAsia="zh-TW"/>
        </w:rPr>
        <w:t xml:space="preserve">Study the following aspects and identify related solutions if needed: </w:t>
      </w:r>
      <w:r w:rsidRPr="00693B1B">
        <w:rPr>
          <w:bCs/>
          <w:i/>
          <w:highlight w:val="yellow"/>
        </w:rPr>
        <w:t xml:space="preserve">Propagation delay: Identify timing requirements and solutions on layer 2 aspects, MAC, RLC, RRC, to support non-terrestrial network propagation delays considering FDD and TDD duplexing mode. This includes radio link management. </w:t>
      </w:r>
      <w:r w:rsidRPr="00693B1B">
        <w:rPr>
          <w:i/>
          <w:highlight w:val="yellow"/>
        </w:rPr>
        <w:t>[RAN2]</w:t>
      </w:r>
    </w:p>
    <w:p w14:paraId="52861239" w14:textId="77777777" w:rsidR="005C200E" w:rsidRPr="00563160" w:rsidRDefault="005C200E" w:rsidP="005C200E">
      <w:pPr>
        <w:numPr>
          <w:ilvl w:val="0"/>
          <w:numId w:val="19"/>
        </w:numPr>
        <w:overflowPunct w:val="0"/>
        <w:autoSpaceDE w:val="0"/>
        <w:autoSpaceDN w:val="0"/>
        <w:adjustRightInd w:val="0"/>
        <w:spacing w:after="0"/>
        <w:textAlignment w:val="baseline"/>
        <w:rPr>
          <w:bCs/>
          <w:i/>
        </w:rPr>
      </w:pPr>
      <w:r w:rsidRPr="00693B1B">
        <w:rPr>
          <w:bCs/>
          <w:i/>
          <w:highlight w:val="yellow"/>
        </w:rPr>
        <w:t>Handover: Study and identify mobility requirements and necessary measurements that may be needed for handovers between some non-terrestrial space-borne vehicles (such as Non Geo stationary satellites) that move at much higher speed but over predictable paths [RAN2,</w:t>
      </w:r>
      <w:r w:rsidRPr="00563160">
        <w:rPr>
          <w:bCs/>
          <w:i/>
        </w:rPr>
        <w:t xml:space="preserve"> RAN1]</w:t>
      </w:r>
    </w:p>
    <w:p w14:paraId="7C75F8BC" w14:textId="77777777" w:rsidR="005C200E" w:rsidRPr="00693B1B" w:rsidRDefault="005C200E" w:rsidP="005C200E">
      <w:pPr>
        <w:numPr>
          <w:ilvl w:val="0"/>
          <w:numId w:val="19"/>
        </w:numPr>
        <w:overflowPunct w:val="0"/>
        <w:autoSpaceDE w:val="0"/>
        <w:autoSpaceDN w:val="0"/>
        <w:adjustRightInd w:val="0"/>
        <w:spacing w:after="0"/>
        <w:textAlignment w:val="baseline"/>
        <w:rPr>
          <w:bCs/>
          <w:i/>
        </w:rPr>
      </w:pPr>
      <w:r w:rsidRPr="00693B1B">
        <w:rPr>
          <w:bCs/>
          <w:i/>
        </w:rPr>
        <w:t xml:space="preserve">Architecture: Identify needs for the 5G’s Radio Access Network architecture to support non-terrestrial networks (e.g. handling of network identities) </w:t>
      </w:r>
      <w:r w:rsidRPr="00693B1B">
        <w:rPr>
          <w:i/>
        </w:rPr>
        <w:t>[RAN3]</w:t>
      </w:r>
    </w:p>
    <w:p w14:paraId="54D430F1" w14:textId="77777777" w:rsidR="005C200E" w:rsidRPr="00693B1B" w:rsidRDefault="005C200E" w:rsidP="005C200E">
      <w:pPr>
        <w:numPr>
          <w:ilvl w:val="1"/>
          <w:numId w:val="19"/>
        </w:numPr>
        <w:overflowPunct w:val="0"/>
        <w:autoSpaceDE w:val="0"/>
        <w:autoSpaceDN w:val="0"/>
        <w:adjustRightInd w:val="0"/>
        <w:spacing w:after="0"/>
        <w:textAlignment w:val="baseline"/>
        <w:rPr>
          <w:bCs/>
          <w:i/>
        </w:rPr>
      </w:pPr>
      <w:r w:rsidRPr="00693B1B">
        <w:rPr>
          <w:i/>
        </w:rPr>
        <w:t>Paging: procedure adaptations in case of moving satellite foot prints or cells</w:t>
      </w:r>
    </w:p>
    <w:p w14:paraId="6B667613" w14:textId="77777777" w:rsidR="005C200E" w:rsidRDefault="005C200E" w:rsidP="005C200E">
      <w:pPr>
        <w:rPr>
          <w:bCs/>
          <w:lang w:eastAsia="zh-CN"/>
        </w:rPr>
      </w:pPr>
      <w:bookmarkStart w:id="7" w:name="OLE_LINK9"/>
    </w:p>
    <w:p w14:paraId="54CC9FA7" w14:textId="51BFEB62" w:rsidR="00D035AF" w:rsidRPr="005C200E" w:rsidRDefault="005C200E" w:rsidP="00227115">
      <w:pPr>
        <w:rPr>
          <w:bCs/>
          <w:lang w:eastAsia="zh-CN"/>
        </w:rPr>
      </w:pPr>
      <w:r>
        <w:t xml:space="preserve">In this contribution, we </w:t>
      </w:r>
      <w:bookmarkEnd w:id="7"/>
      <w:r w:rsidR="00693B1B">
        <w:t xml:space="preserve">discuss the impact of </w:t>
      </w:r>
      <w:r w:rsidR="00ED2469">
        <w:t xml:space="preserve">rapid motion of satellite in </w:t>
      </w:r>
      <w:r w:rsidR="00390952" w:rsidRPr="00390952">
        <w:t>Non Terrestrial Networ</w:t>
      </w:r>
      <w:r w:rsidR="00390952">
        <w:t>k (</w:t>
      </w:r>
      <w:r w:rsidR="00693B1B">
        <w:t>NTN</w:t>
      </w:r>
      <w:r w:rsidR="00390952">
        <w:t>)</w:t>
      </w:r>
      <w:r>
        <w:t>.</w:t>
      </w:r>
    </w:p>
    <w:p w14:paraId="4915A11C" w14:textId="77777777" w:rsidR="00227115" w:rsidRDefault="008C0D0D" w:rsidP="008C0D0D">
      <w:pPr>
        <w:pStyle w:val="1"/>
        <w:rPr>
          <w:lang w:eastAsia="zh-CN"/>
        </w:rPr>
      </w:pPr>
      <w:r>
        <w:rPr>
          <w:lang w:eastAsia="zh-CN"/>
        </w:rPr>
        <w:t>Discussion</w:t>
      </w:r>
    </w:p>
    <w:p w14:paraId="1DF2F6A7" w14:textId="213CEAAD" w:rsidR="00254D66" w:rsidRDefault="003057E3" w:rsidP="00254D66">
      <w:pPr>
        <w:rPr>
          <w:lang w:eastAsia="zh-CN"/>
        </w:rPr>
      </w:pPr>
      <w:r>
        <w:rPr>
          <w:rFonts w:hint="eastAsia"/>
          <w:lang w:eastAsia="zh-CN"/>
        </w:rPr>
        <w:t>Referring to [</w:t>
      </w:r>
      <w:r>
        <w:rPr>
          <w:lang w:eastAsia="zh-CN"/>
        </w:rPr>
        <w:t>2</w:t>
      </w:r>
      <w:r>
        <w:rPr>
          <w:rFonts w:hint="eastAsia"/>
          <w:lang w:eastAsia="zh-CN"/>
        </w:rPr>
        <w:t>]</w:t>
      </w:r>
      <w:r>
        <w:rPr>
          <w:lang w:eastAsia="zh-CN"/>
        </w:rPr>
        <w:t>, the following table show the characteristics of airborne or space-borne vehicles (i.e., base station in 3GPP).</w:t>
      </w:r>
    </w:p>
    <w:tbl>
      <w:tblPr>
        <w:tblW w:w="0" w:type="auto"/>
        <w:tblInd w:w="96" w:type="dxa"/>
        <w:tblLook w:val="04A0" w:firstRow="1" w:lastRow="0" w:firstColumn="1" w:lastColumn="0" w:noHBand="0" w:noVBand="1"/>
      </w:tblPr>
      <w:tblGrid>
        <w:gridCol w:w="1708"/>
        <w:gridCol w:w="3060"/>
        <w:gridCol w:w="2381"/>
        <w:gridCol w:w="2386"/>
      </w:tblGrid>
      <w:tr w:rsidR="003057E3" w14:paraId="204EA2C1" w14:textId="77777777" w:rsidTr="003057E3">
        <w:tc>
          <w:tcPr>
            <w:tcW w:w="1713" w:type="dxa"/>
            <w:tcBorders>
              <w:top w:val="single" w:sz="4" w:space="0" w:color="auto"/>
              <w:left w:val="single" w:sz="4" w:space="0" w:color="auto"/>
              <w:bottom w:val="single" w:sz="4" w:space="0" w:color="auto"/>
              <w:right w:val="single" w:sz="4" w:space="0" w:color="auto"/>
            </w:tcBorders>
            <w:hideMark/>
          </w:tcPr>
          <w:p w14:paraId="50434F50" w14:textId="77777777" w:rsidR="003057E3" w:rsidRDefault="003057E3">
            <w:pPr>
              <w:pStyle w:val="TAH"/>
              <w:rPr>
                <w:lang w:val="en-GB" w:eastAsia="zh-CN"/>
              </w:rPr>
            </w:pPr>
            <w:r>
              <w:rPr>
                <w:lang w:val="en-GB" w:eastAsia="zh-CN"/>
              </w:rPr>
              <w:t>Characteristics</w:t>
            </w:r>
          </w:p>
        </w:tc>
        <w:tc>
          <w:tcPr>
            <w:tcW w:w="3097" w:type="dxa"/>
            <w:tcBorders>
              <w:top w:val="single" w:sz="4" w:space="0" w:color="auto"/>
              <w:left w:val="single" w:sz="4" w:space="0" w:color="auto"/>
              <w:bottom w:val="single" w:sz="4" w:space="0" w:color="auto"/>
              <w:right w:val="single" w:sz="4" w:space="0" w:color="auto"/>
            </w:tcBorders>
            <w:hideMark/>
          </w:tcPr>
          <w:p w14:paraId="4146A0AE" w14:textId="77777777" w:rsidR="003057E3" w:rsidRDefault="003057E3">
            <w:pPr>
              <w:pStyle w:val="TAH"/>
              <w:rPr>
                <w:lang w:val="en-GB" w:eastAsia="zh-CN"/>
              </w:rPr>
            </w:pPr>
            <w:r>
              <w:rPr>
                <w:lang w:val="en-GB" w:eastAsia="zh-CN"/>
              </w:rPr>
              <w:t>Geostationary satellites</w:t>
            </w:r>
          </w:p>
        </w:tc>
        <w:tc>
          <w:tcPr>
            <w:tcW w:w="2405" w:type="dxa"/>
            <w:tcBorders>
              <w:top w:val="single" w:sz="4" w:space="0" w:color="auto"/>
              <w:left w:val="single" w:sz="4" w:space="0" w:color="auto"/>
              <w:bottom w:val="single" w:sz="4" w:space="0" w:color="auto"/>
              <w:right w:val="single" w:sz="4" w:space="0" w:color="auto"/>
            </w:tcBorders>
            <w:hideMark/>
          </w:tcPr>
          <w:p w14:paraId="4D8F0D46" w14:textId="77777777" w:rsidR="003057E3" w:rsidRDefault="003057E3">
            <w:pPr>
              <w:pStyle w:val="TAH"/>
              <w:rPr>
                <w:lang w:val="en-GB" w:eastAsia="zh-CN"/>
              </w:rPr>
            </w:pPr>
            <w:r>
              <w:rPr>
                <w:lang w:val="en-GB" w:eastAsia="zh-CN"/>
              </w:rPr>
              <w:t>Non-Geostationary satellites</w:t>
            </w:r>
          </w:p>
        </w:tc>
        <w:tc>
          <w:tcPr>
            <w:tcW w:w="2405" w:type="dxa"/>
            <w:tcBorders>
              <w:top w:val="single" w:sz="4" w:space="0" w:color="auto"/>
              <w:left w:val="single" w:sz="4" w:space="0" w:color="auto"/>
              <w:bottom w:val="single" w:sz="4" w:space="0" w:color="auto"/>
              <w:right w:val="single" w:sz="4" w:space="0" w:color="auto"/>
            </w:tcBorders>
            <w:hideMark/>
          </w:tcPr>
          <w:p w14:paraId="03FD1D03" w14:textId="77777777" w:rsidR="003057E3" w:rsidRDefault="003057E3">
            <w:pPr>
              <w:pStyle w:val="TAH"/>
              <w:rPr>
                <w:lang w:val="en-GB" w:eastAsia="zh-CN"/>
              </w:rPr>
            </w:pPr>
            <w:r>
              <w:rPr>
                <w:lang w:val="en-GB" w:eastAsia="zh-CN"/>
              </w:rPr>
              <w:t>Airborne platforms</w:t>
            </w:r>
          </w:p>
        </w:tc>
      </w:tr>
      <w:tr w:rsidR="003057E3" w14:paraId="3BE70CE3" w14:textId="77777777" w:rsidTr="003057E3">
        <w:tc>
          <w:tcPr>
            <w:tcW w:w="1713" w:type="dxa"/>
            <w:tcBorders>
              <w:top w:val="single" w:sz="4" w:space="0" w:color="auto"/>
              <w:left w:val="single" w:sz="4" w:space="0" w:color="auto"/>
              <w:bottom w:val="single" w:sz="4" w:space="0" w:color="auto"/>
              <w:right w:val="single" w:sz="4" w:space="0" w:color="auto"/>
            </w:tcBorders>
            <w:hideMark/>
          </w:tcPr>
          <w:p w14:paraId="03C69577" w14:textId="77777777" w:rsidR="003057E3" w:rsidRPr="00ED2469" w:rsidRDefault="003057E3">
            <w:pPr>
              <w:pStyle w:val="TAL"/>
              <w:rPr>
                <w:lang w:eastAsia="zh-CN"/>
              </w:rPr>
            </w:pPr>
            <w:r w:rsidRPr="00ED2469">
              <w:rPr>
                <w:lang w:eastAsia="zh-CN"/>
              </w:rPr>
              <w:t>Altitude</w:t>
            </w:r>
          </w:p>
        </w:tc>
        <w:tc>
          <w:tcPr>
            <w:tcW w:w="3097" w:type="dxa"/>
            <w:tcBorders>
              <w:top w:val="single" w:sz="4" w:space="0" w:color="auto"/>
              <w:left w:val="single" w:sz="4" w:space="0" w:color="auto"/>
              <w:bottom w:val="single" w:sz="4" w:space="0" w:color="auto"/>
              <w:right w:val="single" w:sz="4" w:space="0" w:color="auto"/>
            </w:tcBorders>
            <w:hideMark/>
          </w:tcPr>
          <w:p w14:paraId="7460B76A" w14:textId="77777777" w:rsidR="003057E3" w:rsidRPr="00ED2469" w:rsidRDefault="003057E3">
            <w:pPr>
              <w:pStyle w:val="TAL"/>
              <w:rPr>
                <w:lang w:eastAsia="zh-CN"/>
              </w:rPr>
            </w:pPr>
            <w:r w:rsidRPr="00ED2469">
              <w:t>35 786 km</w:t>
            </w:r>
          </w:p>
        </w:tc>
        <w:tc>
          <w:tcPr>
            <w:tcW w:w="2405" w:type="dxa"/>
            <w:tcBorders>
              <w:top w:val="single" w:sz="4" w:space="0" w:color="auto"/>
              <w:left w:val="single" w:sz="4" w:space="0" w:color="auto"/>
              <w:bottom w:val="single" w:sz="4" w:space="0" w:color="auto"/>
              <w:right w:val="single" w:sz="4" w:space="0" w:color="auto"/>
            </w:tcBorders>
            <w:hideMark/>
          </w:tcPr>
          <w:p w14:paraId="3D695EC2" w14:textId="77777777" w:rsidR="003057E3" w:rsidRPr="00ED2469" w:rsidRDefault="003057E3">
            <w:pPr>
              <w:pStyle w:val="TAL"/>
              <w:rPr>
                <w:lang w:eastAsia="zh-CN"/>
              </w:rPr>
            </w:pPr>
            <w:r w:rsidRPr="00ED2469">
              <w:rPr>
                <w:lang w:eastAsia="zh-CN"/>
              </w:rPr>
              <w:t>Low Earth Orbiting satellites: From 600 km up to 1500 km</w:t>
            </w:r>
          </w:p>
          <w:p w14:paraId="0E651F0F" w14:textId="77777777" w:rsidR="003057E3" w:rsidRPr="00ED2469" w:rsidRDefault="003057E3">
            <w:pPr>
              <w:pStyle w:val="TAL"/>
              <w:rPr>
                <w:lang w:eastAsia="zh-CN"/>
              </w:rPr>
            </w:pPr>
            <w:r w:rsidRPr="00ED2469">
              <w:rPr>
                <w:lang w:eastAsia="zh-CN"/>
              </w:rPr>
              <w:t>Medium Earth Orbiting satellites: From 7000 up to 20000 km</w:t>
            </w:r>
          </w:p>
        </w:tc>
        <w:tc>
          <w:tcPr>
            <w:tcW w:w="2405" w:type="dxa"/>
            <w:tcBorders>
              <w:top w:val="single" w:sz="4" w:space="0" w:color="auto"/>
              <w:left w:val="single" w:sz="4" w:space="0" w:color="auto"/>
              <w:bottom w:val="single" w:sz="4" w:space="0" w:color="auto"/>
              <w:right w:val="single" w:sz="4" w:space="0" w:color="auto"/>
            </w:tcBorders>
            <w:hideMark/>
          </w:tcPr>
          <w:p w14:paraId="5865291C" w14:textId="77777777" w:rsidR="003057E3" w:rsidRPr="003057E3" w:rsidRDefault="003057E3">
            <w:pPr>
              <w:pStyle w:val="TAL"/>
              <w:rPr>
                <w:highlight w:val="yellow"/>
                <w:lang w:eastAsia="zh-CN"/>
              </w:rPr>
            </w:pPr>
            <w:r w:rsidRPr="00ED2469">
              <w:rPr>
                <w:lang w:eastAsia="zh-CN"/>
              </w:rPr>
              <w:t>Typically from 8 to 50 km</w:t>
            </w:r>
          </w:p>
        </w:tc>
      </w:tr>
      <w:tr w:rsidR="003057E3" w14:paraId="32CA81FB" w14:textId="77777777" w:rsidTr="003057E3">
        <w:trPr>
          <w:trHeight w:val="1299"/>
        </w:trPr>
        <w:tc>
          <w:tcPr>
            <w:tcW w:w="1713" w:type="dxa"/>
            <w:tcBorders>
              <w:top w:val="single" w:sz="4" w:space="0" w:color="auto"/>
              <w:left w:val="single" w:sz="4" w:space="0" w:color="auto"/>
              <w:bottom w:val="single" w:sz="4" w:space="0" w:color="auto"/>
              <w:right w:val="single" w:sz="4" w:space="0" w:color="auto"/>
            </w:tcBorders>
            <w:hideMark/>
          </w:tcPr>
          <w:p w14:paraId="29E621A7" w14:textId="77777777" w:rsidR="003057E3" w:rsidRPr="003057E3" w:rsidRDefault="003057E3">
            <w:pPr>
              <w:pStyle w:val="TAL"/>
              <w:rPr>
                <w:highlight w:val="yellow"/>
                <w:lang w:eastAsia="zh-CN"/>
              </w:rPr>
            </w:pPr>
            <w:r w:rsidRPr="003057E3">
              <w:rPr>
                <w:highlight w:val="yellow"/>
                <w:lang w:eastAsia="zh-CN"/>
              </w:rPr>
              <w:t>Motion</w:t>
            </w:r>
          </w:p>
        </w:tc>
        <w:tc>
          <w:tcPr>
            <w:tcW w:w="3097" w:type="dxa"/>
            <w:tcBorders>
              <w:top w:val="single" w:sz="4" w:space="0" w:color="auto"/>
              <w:left w:val="single" w:sz="4" w:space="0" w:color="auto"/>
              <w:bottom w:val="single" w:sz="4" w:space="0" w:color="auto"/>
              <w:right w:val="single" w:sz="4" w:space="0" w:color="auto"/>
            </w:tcBorders>
            <w:hideMark/>
          </w:tcPr>
          <w:p w14:paraId="7CA5DE8D" w14:textId="77777777" w:rsidR="003057E3" w:rsidRPr="003057E3" w:rsidRDefault="003057E3">
            <w:pPr>
              <w:pStyle w:val="TAL"/>
              <w:rPr>
                <w:highlight w:val="yellow"/>
                <w:lang w:eastAsia="zh-CN"/>
              </w:rPr>
            </w:pPr>
            <w:r w:rsidRPr="003057E3">
              <w:rPr>
                <w:highlight w:val="yellow"/>
                <w:lang w:eastAsia="zh-CN"/>
              </w:rPr>
              <w:t>Typically within a cube of 50-100 km side around the theoretical orbital position fixed in terms of elevation/azimuth with respect to a given earth point</w:t>
            </w:r>
          </w:p>
        </w:tc>
        <w:tc>
          <w:tcPr>
            <w:tcW w:w="2405" w:type="dxa"/>
            <w:tcBorders>
              <w:top w:val="single" w:sz="4" w:space="0" w:color="auto"/>
              <w:left w:val="single" w:sz="4" w:space="0" w:color="auto"/>
              <w:bottom w:val="single" w:sz="4" w:space="0" w:color="auto"/>
              <w:right w:val="single" w:sz="4" w:space="0" w:color="auto"/>
            </w:tcBorders>
            <w:hideMark/>
          </w:tcPr>
          <w:p w14:paraId="0257D418" w14:textId="77777777" w:rsidR="003057E3" w:rsidRPr="003057E3" w:rsidRDefault="003057E3">
            <w:pPr>
              <w:pStyle w:val="TAL"/>
              <w:rPr>
                <w:highlight w:val="yellow"/>
                <w:lang w:eastAsia="zh-CN"/>
              </w:rPr>
            </w:pPr>
            <w:r w:rsidRPr="003057E3">
              <w:rPr>
                <w:highlight w:val="yellow"/>
                <w:lang w:eastAsia="zh-CN"/>
              </w:rPr>
              <w:t>We shall assume here only circular orbits around the earth</w:t>
            </w:r>
          </w:p>
        </w:tc>
        <w:tc>
          <w:tcPr>
            <w:tcW w:w="2405" w:type="dxa"/>
            <w:tcBorders>
              <w:top w:val="single" w:sz="4" w:space="0" w:color="auto"/>
              <w:left w:val="single" w:sz="4" w:space="0" w:color="auto"/>
              <w:bottom w:val="single" w:sz="4" w:space="0" w:color="auto"/>
              <w:right w:val="single" w:sz="4" w:space="0" w:color="auto"/>
            </w:tcBorders>
            <w:hideMark/>
          </w:tcPr>
          <w:p w14:paraId="7E703C69" w14:textId="77777777" w:rsidR="003057E3" w:rsidRPr="003057E3" w:rsidRDefault="003057E3">
            <w:pPr>
              <w:pStyle w:val="TAL"/>
              <w:rPr>
                <w:highlight w:val="yellow"/>
                <w:lang w:eastAsia="zh-CN"/>
              </w:rPr>
            </w:pPr>
            <w:r w:rsidRPr="003057E3">
              <w:rPr>
                <w:highlight w:val="yellow"/>
                <w:lang w:eastAsia="zh-CN"/>
              </w:rPr>
              <w:t>Typically in motion within TBD km from the notional station keeping position fixed in terms of elevation/azimuth with respect to a given earth point</w:t>
            </w:r>
          </w:p>
        </w:tc>
      </w:tr>
      <w:tr w:rsidR="003057E3" w14:paraId="3063326E" w14:textId="77777777" w:rsidTr="003057E3">
        <w:trPr>
          <w:trHeight w:val="353"/>
        </w:trPr>
        <w:tc>
          <w:tcPr>
            <w:tcW w:w="1713" w:type="dxa"/>
            <w:tcBorders>
              <w:top w:val="single" w:sz="4" w:space="0" w:color="auto"/>
              <w:left w:val="single" w:sz="4" w:space="0" w:color="auto"/>
              <w:bottom w:val="single" w:sz="4" w:space="0" w:color="auto"/>
              <w:right w:val="single" w:sz="4" w:space="0" w:color="auto"/>
            </w:tcBorders>
            <w:hideMark/>
          </w:tcPr>
          <w:p w14:paraId="1DE95214" w14:textId="77777777" w:rsidR="003057E3" w:rsidRDefault="003057E3">
            <w:pPr>
              <w:pStyle w:val="TAL"/>
              <w:rPr>
                <w:lang w:eastAsia="zh-CN"/>
              </w:rPr>
            </w:pPr>
            <w:r>
              <w:rPr>
                <w:lang w:eastAsia="zh-CN"/>
              </w:rPr>
              <w:t>Elevation angle (NOTE 1)</w:t>
            </w:r>
          </w:p>
        </w:tc>
        <w:tc>
          <w:tcPr>
            <w:tcW w:w="7907" w:type="dxa"/>
            <w:gridSpan w:val="3"/>
            <w:tcBorders>
              <w:top w:val="single" w:sz="4" w:space="0" w:color="auto"/>
              <w:left w:val="single" w:sz="4" w:space="0" w:color="auto"/>
              <w:bottom w:val="single" w:sz="4" w:space="0" w:color="auto"/>
              <w:right w:val="single" w:sz="4" w:space="0" w:color="auto"/>
            </w:tcBorders>
            <w:hideMark/>
          </w:tcPr>
          <w:p w14:paraId="1AFE7F37" w14:textId="77777777" w:rsidR="003057E3" w:rsidRDefault="003057E3">
            <w:pPr>
              <w:pStyle w:val="TAL"/>
              <w:rPr>
                <w:lang w:eastAsia="zh-CN"/>
              </w:rPr>
            </w:pPr>
            <w:r>
              <w:rPr>
                <w:lang w:eastAsia="zh-CN"/>
              </w:rPr>
              <w:t>Typically more than 10° for user terminal and more than 5° for gateways</w:t>
            </w:r>
          </w:p>
        </w:tc>
      </w:tr>
      <w:tr w:rsidR="003057E3" w14:paraId="540A7200" w14:textId="77777777" w:rsidTr="003057E3">
        <w:trPr>
          <w:trHeight w:val="274"/>
        </w:trPr>
        <w:tc>
          <w:tcPr>
            <w:tcW w:w="9620" w:type="dxa"/>
            <w:gridSpan w:val="4"/>
            <w:tcBorders>
              <w:top w:val="single" w:sz="4" w:space="0" w:color="auto"/>
              <w:left w:val="single" w:sz="4" w:space="0" w:color="auto"/>
              <w:bottom w:val="single" w:sz="4" w:space="0" w:color="auto"/>
              <w:right w:val="single" w:sz="4" w:space="0" w:color="auto"/>
            </w:tcBorders>
            <w:hideMark/>
          </w:tcPr>
          <w:p w14:paraId="68926A71" w14:textId="77777777" w:rsidR="003057E3" w:rsidRDefault="003057E3">
            <w:pPr>
              <w:pStyle w:val="TAN"/>
              <w:rPr>
                <w:lang w:eastAsia="zh-CN"/>
              </w:rPr>
            </w:pPr>
            <w:r>
              <w:rPr>
                <w:lang w:eastAsia="zh-CN"/>
              </w:rPr>
              <w:t>NOTE 1:</w:t>
            </w:r>
            <w:r>
              <w:rPr>
                <w:lang w:eastAsia="zh-CN"/>
              </w:rPr>
              <w:tab/>
              <w:t>The minimum Elevation angle refers to the minimum angle under which the airborne/spaceborne platform can be seen by a terminal. Below is a summary table of minimum elevation angles for different types of satellite and aerial based systems applications.</w:t>
            </w:r>
          </w:p>
        </w:tc>
      </w:tr>
    </w:tbl>
    <w:p w14:paraId="23DEDDBE" w14:textId="77777777" w:rsidR="003057E3" w:rsidRDefault="003057E3" w:rsidP="003057E3">
      <w:pPr>
        <w:rPr>
          <w:lang w:val="en-US" w:eastAsia="zh-CN"/>
        </w:rPr>
      </w:pPr>
    </w:p>
    <w:p w14:paraId="0CED2E07" w14:textId="5258B9FF" w:rsidR="00254D66" w:rsidRPr="00ED2469" w:rsidRDefault="00ED2469" w:rsidP="00254D66">
      <w:pPr>
        <w:rPr>
          <w:lang w:eastAsia="zh-CN"/>
        </w:rPr>
      </w:pPr>
      <w:r>
        <w:rPr>
          <w:lang w:val="en-US" w:eastAsia="zh-CN"/>
        </w:rPr>
        <w:t>I</w:t>
      </w:r>
      <w:r w:rsidR="00BD16CD">
        <w:rPr>
          <w:lang w:eastAsia="zh-CN"/>
        </w:rPr>
        <w:t>n</w:t>
      </w:r>
      <w:r w:rsidR="00BD16CD">
        <w:rPr>
          <w:rFonts w:hint="eastAsia"/>
          <w:lang w:eastAsia="zh-CN"/>
        </w:rPr>
        <w:t xml:space="preserve"> the traditional cellular networks</w:t>
      </w:r>
      <w:r w:rsidR="00BD16CD">
        <w:rPr>
          <w:lang w:eastAsia="zh-CN"/>
        </w:rPr>
        <w:t>,</w:t>
      </w:r>
      <w:r w:rsidR="00BD16CD">
        <w:rPr>
          <w:rFonts w:hint="eastAsia"/>
          <w:lang w:eastAsia="zh-CN"/>
        </w:rPr>
        <w:t xml:space="preserve"> the location of base station is fixed and UE moves, </w:t>
      </w:r>
      <w:r w:rsidR="00BD16CD">
        <w:rPr>
          <w:lang w:eastAsia="zh-CN"/>
        </w:rPr>
        <w:t>but in NTN</w:t>
      </w:r>
      <w:r w:rsidR="00BD16CD" w:rsidRPr="00390952">
        <w:rPr>
          <w:lang w:eastAsia="zh-CN"/>
        </w:rPr>
        <w:t xml:space="preserve"> space/aerial vehicles</w:t>
      </w:r>
      <w:r w:rsidR="00BD16CD">
        <w:rPr>
          <w:lang w:eastAsia="zh-CN"/>
        </w:rPr>
        <w:t xml:space="preserve"> may move rapidly while the UE may be </w:t>
      </w:r>
      <w:r w:rsidR="00BD16CD" w:rsidRPr="00390952">
        <w:rPr>
          <w:lang w:eastAsia="zh-CN"/>
        </w:rPr>
        <w:t>motionless</w:t>
      </w:r>
      <w:r w:rsidR="00BD16CD">
        <w:rPr>
          <w:lang w:eastAsia="zh-CN"/>
        </w:rPr>
        <w:t xml:space="preserve">. According to [2], </w:t>
      </w:r>
      <w:r w:rsidR="00BD16CD" w:rsidRPr="00390952">
        <w:rPr>
          <w:lang w:eastAsia="zh-CN"/>
        </w:rPr>
        <w:t>a LEO satellite</w:t>
      </w:r>
      <w:r w:rsidR="00BD16CD">
        <w:rPr>
          <w:lang w:eastAsia="zh-CN"/>
        </w:rPr>
        <w:t xml:space="preserve"> on a 2-hour orbit</w:t>
      </w:r>
      <w:r w:rsidR="00BD16CD" w:rsidRPr="00390952">
        <w:rPr>
          <w:lang w:eastAsia="zh-CN"/>
        </w:rPr>
        <w:t xml:space="preserve"> is in view of a stationary UE from horizon to horizon for about 20 minutes. Since each LEO satellite may have many beams, the time </w:t>
      </w:r>
      <w:r w:rsidR="00BD16CD" w:rsidRPr="00390952">
        <w:rPr>
          <w:lang w:eastAsia="zh-CN"/>
        </w:rPr>
        <w:lastRenderedPageBreak/>
        <w:t>such a UE stays within a beam is typically for only a few minutes.</w:t>
      </w:r>
      <w:r w:rsidR="00BD16CD">
        <w:rPr>
          <w:lang w:eastAsia="zh-CN"/>
        </w:rPr>
        <w:t xml:space="preserve"> </w:t>
      </w:r>
      <w:r>
        <w:rPr>
          <w:lang w:eastAsia="zh-CN"/>
        </w:rPr>
        <w:t>As a result, r</w:t>
      </w:r>
      <w:r w:rsidR="00A60190">
        <w:rPr>
          <w:lang w:eastAsia="zh-CN"/>
        </w:rPr>
        <w:t xml:space="preserve">apid motion of base station in NTN will bring challenges for </w:t>
      </w:r>
      <w:r>
        <w:rPr>
          <w:lang w:eastAsia="zh-CN"/>
        </w:rPr>
        <w:t>handover and paging</w:t>
      </w:r>
      <w:r w:rsidR="00A60190">
        <w:rPr>
          <w:lang w:eastAsia="zh-CN"/>
        </w:rPr>
        <w:t>.</w:t>
      </w:r>
    </w:p>
    <w:p w14:paraId="37361789" w14:textId="77777777" w:rsidR="00390952" w:rsidRPr="005856BC" w:rsidRDefault="005856BC" w:rsidP="005856BC">
      <w:pPr>
        <w:pStyle w:val="a7"/>
        <w:numPr>
          <w:ilvl w:val="0"/>
          <w:numId w:val="21"/>
        </w:numPr>
        <w:ind w:firstLineChars="0"/>
        <w:rPr>
          <w:b/>
          <w:lang w:eastAsia="zh-CN"/>
        </w:rPr>
      </w:pPr>
      <w:r>
        <w:rPr>
          <w:rFonts w:eastAsiaTheme="minorEastAsia"/>
          <w:b/>
          <w:lang w:eastAsia="zh-CN"/>
        </w:rPr>
        <w:t>I</w:t>
      </w:r>
      <w:r w:rsidRPr="005856BC">
        <w:rPr>
          <w:rFonts w:eastAsiaTheme="minorEastAsia"/>
          <w:b/>
          <w:lang w:eastAsia="zh-CN"/>
        </w:rPr>
        <w:t>mpact on handover</w:t>
      </w:r>
    </w:p>
    <w:p w14:paraId="3131A6A5" w14:textId="6D8BBA19" w:rsidR="00BD4B28" w:rsidRDefault="000D4314" w:rsidP="00A60806">
      <w:pPr>
        <w:rPr>
          <w:lang w:eastAsia="zh-CN"/>
        </w:rPr>
      </w:pPr>
      <w:r>
        <w:rPr>
          <w:lang w:eastAsia="zh-CN"/>
        </w:rPr>
        <w:t>In NTN based on NGSO satellites, the serving beam or satellite</w:t>
      </w:r>
      <w:r w:rsidR="00EE4916">
        <w:rPr>
          <w:lang w:eastAsia="zh-CN"/>
        </w:rPr>
        <w:t xml:space="preserve"> switches very quickly, then the handover procedure has to be executed quickly otherwise UE may loss data. However, frequent handover will lead to high measurement overhead for UEs and high resource and data forwarding overhead. </w:t>
      </w:r>
    </w:p>
    <w:p w14:paraId="58D2E839" w14:textId="5A910C4D" w:rsidR="00BD4B28" w:rsidRPr="00254D66" w:rsidRDefault="00BD4B28" w:rsidP="00A60806">
      <w:pPr>
        <w:rPr>
          <w:b/>
          <w:lang w:eastAsia="zh-CN"/>
        </w:rPr>
      </w:pPr>
      <w:r w:rsidRPr="00254D66">
        <w:rPr>
          <w:b/>
          <w:lang w:eastAsia="zh-CN"/>
        </w:rPr>
        <w:t xml:space="preserve">Observation 1: </w:t>
      </w:r>
      <w:r w:rsidR="00B24C5F">
        <w:rPr>
          <w:b/>
          <w:lang w:eastAsia="zh-CN"/>
        </w:rPr>
        <w:t>F</w:t>
      </w:r>
      <w:r w:rsidRPr="00254D66">
        <w:rPr>
          <w:b/>
          <w:lang w:eastAsia="zh-CN"/>
        </w:rPr>
        <w:t>requent handover will lead to high measurement overhead for UEs and high resource and data forwarding overhead</w:t>
      </w:r>
    </w:p>
    <w:p w14:paraId="2E23BC35" w14:textId="77777777" w:rsidR="008E39CB" w:rsidRDefault="008E39CB" w:rsidP="00A60806">
      <w:pPr>
        <w:rPr>
          <w:lang w:eastAsia="zh-CN"/>
        </w:rPr>
      </w:pPr>
      <w:r>
        <w:rPr>
          <w:lang w:eastAsia="zh-CN"/>
        </w:rPr>
        <w:t xml:space="preserve">Therefore, RAN2 should discuss how to </w:t>
      </w:r>
      <w:r w:rsidR="00BD4B28">
        <w:rPr>
          <w:lang w:eastAsia="zh-CN"/>
        </w:rPr>
        <w:t xml:space="preserve">reduce </w:t>
      </w:r>
      <w:r w:rsidR="00254D66">
        <w:rPr>
          <w:lang w:eastAsia="zh-CN"/>
        </w:rPr>
        <w:t>the</w:t>
      </w:r>
      <w:r w:rsidR="00254D66" w:rsidRPr="00254D66">
        <w:rPr>
          <w:lang w:eastAsia="zh-CN"/>
        </w:rPr>
        <w:t xml:space="preserve"> measurement overhead for UEs and resource and data forwarding overhead</w:t>
      </w:r>
      <w:r>
        <w:rPr>
          <w:lang w:eastAsia="zh-CN"/>
        </w:rPr>
        <w:t>.</w:t>
      </w:r>
    </w:p>
    <w:p w14:paraId="2BF80D81" w14:textId="6E8D39A4" w:rsidR="008E39CB" w:rsidRPr="00A60806" w:rsidRDefault="008E39CB" w:rsidP="00A60806">
      <w:pPr>
        <w:rPr>
          <w:rFonts w:eastAsiaTheme="minorEastAsia"/>
          <w:b/>
          <w:lang w:eastAsia="zh-CN"/>
        </w:rPr>
      </w:pPr>
      <w:r w:rsidRPr="00A60806">
        <w:rPr>
          <w:rFonts w:eastAsiaTheme="minorEastAsia"/>
          <w:b/>
          <w:lang w:eastAsia="zh-CN"/>
        </w:rPr>
        <w:t xml:space="preserve">Proposal </w:t>
      </w:r>
      <w:r w:rsidR="00ED2469">
        <w:rPr>
          <w:rFonts w:eastAsiaTheme="minorEastAsia"/>
          <w:b/>
          <w:lang w:eastAsia="zh-CN"/>
        </w:rPr>
        <w:t>1</w:t>
      </w:r>
      <w:r w:rsidRPr="00A60806">
        <w:rPr>
          <w:rFonts w:eastAsiaTheme="minorEastAsia"/>
          <w:b/>
          <w:lang w:eastAsia="zh-CN"/>
        </w:rPr>
        <w:t xml:space="preserve">: RAN2 should discuss how to </w:t>
      </w:r>
      <w:r w:rsidR="00254D66" w:rsidRPr="00254D66">
        <w:rPr>
          <w:b/>
          <w:lang w:eastAsia="zh-CN"/>
        </w:rPr>
        <w:t>reduce the measurement overhead for UEs and resource and data forwarding overhead.</w:t>
      </w:r>
    </w:p>
    <w:p w14:paraId="662AD5F1" w14:textId="77777777" w:rsidR="005856BC" w:rsidRPr="00EF0CC1" w:rsidRDefault="005856BC" w:rsidP="005856BC">
      <w:pPr>
        <w:pStyle w:val="a7"/>
        <w:numPr>
          <w:ilvl w:val="0"/>
          <w:numId w:val="21"/>
        </w:numPr>
        <w:ind w:firstLineChars="0"/>
        <w:rPr>
          <w:b/>
          <w:lang w:eastAsia="zh-CN"/>
        </w:rPr>
      </w:pPr>
      <w:r w:rsidRPr="005856BC">
        <w:rPr>
          <w:rFonts w:eastAsiaTheme="minorEastAsia"/>
          <w:b/>
          <w:lang w:eastAsia="zh-CN"/>
        </w:rPr>
        <w:t>Impact on paging</w:t>
      </w:r>
    </w:p>
    <w:p w14:paraId="145E74B7" w14:textId="784C60C1" w:rsidR="00A52D31" w:rsidRPr="004C2615" w:rsidRDefault="00A52D31" w:rsidP="00A52D31">
      <w:pPr>
        <w:rPr>
          <w:rFonts w:eastAsiaTheme="minorEastAsia"/>
          <w:lang w:eastAsia="zh-CN"/>
        </w:rPr>
      </w:pPr>
      <w:r w:rsidRPr="00A52D31">
        <w:rPr>
          <w:rFonts w:eastAsia="Times New Roman"/>
          <w:lang w:eastAsia="zh-CN"/>
        </w:rPr>
        <w:t xml:space="preserve">In Non-GEO satellite access network, a UE camps on a beam of a satellite, but as beams move, it ends up camping on different beams and different satellites over time even though UE may not have moved. </w:t>
      </w:r>
      <w:r w:rsidR="005B748F">
        <w:rPr>
          <w:rFonts w:eastAsia="Times New Roman"/>
          <w:lang w:eastAsia="zh-CN"/>
        </w:rPr>
        <w:t xml:space="preserve">The time of UE staying in one beam will be very short because of rapid motion of satellites. </w:t>
      </w:r>
      <w:r w:rsidR="00F47E82">
        <w:rPr>
          <w:rFonts w:eastAsia="Times New Roman"/>
          <w:lang w:eastAsia="zh-CN"/>
        </w:rPr>
        <w:t>According to the current NR TAU mechanism, UE will perform TAU frequently. The frequent TAU will leads to the wasting of UE’s power and network’s resource.</w:t>
      </w:r>
      <w:r w:rsidRPr="00A52D31">
        <w:rPr>
          <w:rFonts w:eastAsia="Times New Roman"/>
          <w:lang w:eastAsia="zh-CN"/>
        </w:rPr>
        <w:t xml:space="preserve"> </w:t>
      </w:r>
      <w:r w:rsidR="005B748F">
        <w:rPr>
          <w:rFonts w:eastAsia="Times New Roman"/>
          <w:lang w:eastAsia="zh-CN"/>
        </w:rPr>
        <w:t>Therefore, RAN2 should discuss how to solve issues induced by frequent TAU.</w:t>
      </w:r>
    </w:p>
    <w:p w14:paraId="06B0551E" w14:textId="20BFA7D2" w:rsidR="00A52D31" w:rsidRPr="00A52D31" w:rsidRDefault="00A52D31" w:rsidP="00A52D31">
      <w:pPr>
        <w:rPr>
          <w:rFonts w:eastAsia="Times New Roman"/>
          <w:b/>
          <w:lang w:eastAsia="zh-CN"/>
        </w:rPr>
      </w:pPr>
      <w:r w:rsidRPr="00A52D31">
        <w:rPr>
          <w:rFonts w:eastAsia="Times New Roman"/>
          <w:b/>
          <w:lang w:eastAsia="zh-CN"/>
        </w:rPr>
        <w:t xml:space="preserve">Propose </w:t>
      </w:r>
      <w:r w:rsidR="00ED2469">
        <w:rPr>
          <w:rFonts w:eastAsia="Times New Roman"/>
          <w:b/>
          <w:lang w:eastAsia="zh-CN"/>
        </w:rPr>
        <w:t>2</w:t>
      </w:r>
      <w:r w:rsidRPr="00A52D31">
        <w:rPr>
          <w:rFonts w:eastAsia="Times New Roman"/>
          <w:b/>
          <w:lang w:eastAsia="zh-CN"/>
        </w:rPr>
        <w:t xml:space="preserve">: RAN2 should discuss how to </w:t>
      </w:r>
      <w:r w:rsidR="00254D66">
        <w:rPr>
          <w:rFonts w:eastAsia="Times New Roman"/>
          <w:b/>
          <w:lang w:eastAsia="zh-CN"/>
        </w:rPr>
        <w:t>solve issues induced by frequent TAU</w:t>
      </w:r>
      <w:r>
        <w:rPr>
          <w:rFonts w:eastAsia="Times New Roman"/>
          <w:b/>
          <w:lang w:eastAsia="zh-CN"/>
        </w:rPr>
        <w:t>.</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29ADBE7F"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D2469">
        <w:rPr>
          <w:lang w:val="en-US" w:eastAsia="zh-CN"/>
        </w:rPr>
        <w:t xml:space="preserve">the </w:t>
      </w:r>
      <w:r w:rsidR="00ED2469">
        <w:t xml:space="preserve">impact of rapid motion of satellite in </w:t>
      </w:r>
      <w:r w:rsidR="00ED2469" w:rsidRPr="00390952">
        <w:t>Non Terrestrial Networ</w:t>
      </w:r>
      <w:r w:rsidR="00ED2469">
        <w:t>k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5262668F" w14:textId="0BF7555E" w:rsidR="00E44657" w:rsidRPr="00E44657" w:rsidRDefault="00E44657" w:rsidP="00E44657">
      <w:pPr>
        <w:rPr>
          <w:b/>
          <w:lang w:eastAsia="zh-CN"/>
        </w:rPr>
      </w:pPr>
      <w:r w:rsidRPr="00254D66">
        <w:rPr>
          <w:b/>
          <w:lang w:eastAsia="zh-CN"/>
        </w:rPr>
        <w:t xml:space="preserve">Observation 1: </w:t>
      </w:r>
      <w:r w:rsidR="00B24C5F">
        <w:rPr>
          <w:b/>
          <w:lang w:eastAsia="zh-CN"/>
        </w:rPr>
        <w:t>F</w:t>
      </w:r>
      <w:r w:rsidRPr="00254D66">
        <w:rPr>
          <w:b/>
          <w:lang w:eastAsia="zh-CN"/>
        </w:rPr>
        <w:t>requent handover will lead to high measurement overhead for UEs and high resource and data forwarding overhead</w:t>
      </w:r>
    </w:p>
    <w:p w14:paraId="7ABF0F3F" w14:textId="56CD09D5" w:rsidR="00866525" w:rsidRPr="00C14A68" w:rsidRDefault="00E44657" w:rsidP="00866525">
      <w:pPr>
        <w:rPr>
          <w:rFonts w:eastAsiaTheme="minorEastAsia"/>
          <w:b/>
          <w:lang w:eastAsia="zh-CN"/>
        </w:rPr>
      </w:pPr>
      <w:r w:rsidRPr="00A60806">
        <w:rPr>
          <w:rFonts w:eastAsiaTheme="minorEastAsia"/>
          <w:b/>
          <w:lang w:eastAsia="zh-CN"/>
        </w:rPr>
        <w:t xml:space="preserve">Proposal </w:t>
      </w:r>
      <w:r w:rsidR="00ED2469">
        <w:rPr>
          <w:rFonts w:eastAsiaTheme="minorEastAsia"/>
          <w:b/>
          <w:lang w:eastAsia="zh-CN"/>
        </w:rPr>
        <w:t>1</w:t>
      </w:r>
      <w:r w:rsidRPr="00A60806">
        <w:rPr>
          <w:rFonts w:eastAsiaTheme="minorEastAsia"/>
          <w:b/>
          <w:lang w:eastAsia="zh-CN"/>
        </w:rPr>
        <w:t xml:space="preserve">: RAN2 should discuss how to </w:t>
      </w:r>
      <w:r w:rsidRPr="00254D66">
        <w:rPr>
          <w:b/>
          <w:lang w:eastAsia="zh-CN"/>
        </w:rPr>
        <w:t>reduce the measurement overhead for UEs and resource and data forwarding overhead.</w:t>
      </w:r>
    </w:p>
    <w:p w14:paraId="658EDE0D" w14:textId="5C12A535" w:rsidR="00866525" w:rsidRPr="00866525" w:rsidRDefault="00E44657" w:rsidP="00866525">
      <w:pPr>
        <w:jc w:val="both"/>
        <w:rPr>
          <w:b/>
        </w:rPr>
      </w:pPr>
      <w:r w:rsidRPr="00A52D31">
        <w:rPr>
          <w:rFonts w:eastAsia="Times New Roman"/>
          <w:b/>
          <w:lang w:eastAsia="zh-CN"/>
        </w:rPr>
        <w:t xml:space="preserve">Propose </w:t>
      </w:r>
      <w:r w:rsidR="00ED2469">
        <w:rPr>
          <w:rFonts w:eastAsia="Times New Roman"/>
          <w:b/>
          <w:lang w:eastAsia="zh-CN"/>
        </w:rPr>
        <w:t>2</w:t>
      </w:r>
      <w:r w:rsidRPr="00A52D31">
        <w:rPr>
          <w:rFonts w:eastAsia="Times New Roman"/>
          <w:b/>
          <w:lang w:eastAsia="zh-CN"/>
        </w:rPr>
        <w:t xml:space="preserve">: RAN2 should discuss how to </w:t>
      </w:r>
      <w:r>
        <w:rPr>
          <w:rFonts w:eastAsia="Times New Roman"/>
          <w:b/>
          <w:lang w:eastAsia="zh-CN"/>
        </w:rPr>
        <w:t>solve issues induced by frequent TAU.</w:t>
      </w:r>
    </w:p>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8" w:name="_Toc423020280"/>
      <w:bookmarkEnd w:id="8"/>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11D163B5" w14:textId="77777777" w:rsidR="00E16156" w:rsidRDefault="00E16156" w:rsidP="00E16156">
      <w:pPr>
        <w:rPr>
          <w:lang w:eastAsia="zh-CN"/>
        </w:rPr>
      </w:pPr>
      <w:r>
        <w:rPr>
          <w:lang w:eastAsia="zh-CN"/>
        </w:rPr>
        <w:t>[2]</w:t>
      </w:r>
      <w:r>
        <w:rPr>
          <w:lang w:eastAsia="zh-CN"/>
        </w:rPr>
        <w:tab/>
      </w:r>
      <w:r>
        <w:rPr>
          <w:lang w:eastAsia="zh-CN"/>
        </w:rPr>
        <w:tab/>
        <w:t>TR 38.811</w:t>
      </w:r>
      <w:r w:rsidRPr="005E7AE2">
        <w:rPr>
          <w:lang w:eastAsia="zh-CN"/>
        </w:rPr>
        <w:t xml:space="preserve">, </w:t>
      </w:r>
      <w:r w:rsidRPr="007840DB">
        <w:rPr>
          <w:rFonts w:hint="eastAsia"/>
          <w:lang w:eastAsia="ja-JP"/>
        </w:rPr>
        <w:t xml:space="preserve">Study on </w:t>
      </w:r>
      <w:r w:rsidRPr="007840DB">
        <w:t xml:space="preserve">New Radio </w:t>
      </w:r>
      <w:r w:rsidRPr="007840DB">
        <w:rPr>
          <w:rFonts w:hint="eastAsia"/>
          <w:lang w:eastAsia="ja-JP"/>
        </w:rPr>
        <w:t xml:space="preserve">(NR) </w:t>
      </w:r>
      <w:r>
        <w:rPr>
          <w:lang w:eastAsia="ja-JP"/>
        </w:rPr>
        <w:t>to support non terrestrial networks</w:t>
      </w:r>
      <w:r w:rsidRPr="005E7AE2">
        <w:rPr>
          <w:lang w:eastAsia="zh-CN"/>
        </w:rPr>
        <w:t>.</w:t>
      </w:r>
    </w:p>
    <w:p w14:paraId="28EAD41F" w14:textId="77777777" w:rsidR="00E16156" w:rsidRPr="00E16156" w:rsidRDefault="00E16156" w:rsidP="00E16156">
      <w:pPr>
        <w:rPr>
          <w:lang w:eastAsia="zh-CN"/>
        </w:rPr>
      </w:pPr>
    </w:p>
    <w:sectPr w:rsidR="00E16156" w:rsidRPr="00E16156"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33632" w14:textId="77777777" w:rsidR="003860B3" w:rsidRDefault="003860B3">
      <w:pPr>
        <w:spacing w:after="0"/>
      </w:pPr>
      <w:r>
        <w:separator/>
      </w:r>
    </w:p>
  </w:endnote>
  <w:endnote w:type="continuationSeparator" w:id="0">
    <w:p w14:paraId="69F3B88C" w14:textId="77777777" w:rsidR="003860B3" w:rsidRDefault="003860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7AB4E" w14:textId="77777777" w:rsidR="003860B3" w:rsidRDefault="003860B3">
      <w:pPr>
        <w:spacing w:after="0"/>
      </w:pPr>
      <w:r>
        <w:separator/>
      </w:r>
    </w:p>
  </w:footnote>
  <w:footnote w:type="continuationSeparator" w:id="0">
    <w:p w14:paraId="2EEA43A7" w14:textId="77777777" w:rsidR="003860B3" w:rsidRDefault="003860B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6AEC3D8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6"/>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7"/>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380E"/>
    <w:rsid w:val="00097277"/>
    <w:rsid w:val="000B45F5"/>
    <w:rsid w:val="000B55BA"/>
    <w:rsid w:val="000C6C7A"/>
    <w:rsid w:val="000D4314"/>
    <w:rsid w:val="000F5C43"/>
    <w:rsid w:val="001036D0"/>
    <w:rsid w:val="00103AD0"/>
    <w:rsid w:val="00131E9B"/>
    <w:rsid w:val="00141503"/>
    <w:rsid w:val="00142078"/>
    <w:rsid w:val="00147254"/>
    <w:rsid w:val="001526DB"/>
    <w:rsid w:val="001569EF"/>
    <w:rsid w:val="00157A0C"/>
    <w:rsid w:val="00157B7E"/>
    <w:rsid w:val="00172ACB"/>
    <w:rsid w:val="00181168"/>
    <w:rsid w:val="001A4E52"/>
    <w:rsid w:val="001B4DEC"/>
    <w:rsid w:val="001D31BA"/>
    <w:rsid w:val="001F2026"/>
    <w:rsid w:val="00205835"/>
    <w:rsid w:val="00223C39"/>
    <w:rsid w:val="00227115"/>
    <w:rsid w:val="002377EE"/>
    <w:rsid w:val="00240E1B"/>
    <w:rsid w:val="002506FF"/>
    <w:rsid w:val="00254D66"/>
    <w:rsid w:val="002667D7"/>
    <w:rsid w:val="0028489E"/>
    <w:rsid w:val="002A3E99"/>
    <w:rsid w:val="002A555A"/>
    <w:rsid w:val="002C658F"/>
    <w:rsid w:val="002C6C9C"/>
    <w:rsid w:val="002D1334"/>
    <w:rsid w:val="002D2571"/>
    <w:rsid w:val="002D6C91"/>
    <w:rsid w:val="002F7095"/>
    <w:rsid w:val="003057E3"/>
    <w:rsid w:val="00306227"/>
    <w:rsid w:val="003234BE"/>
    <w:rsid w:val="00344445"/>
    <w:rsid w:val="003469BF"/>
    <w:rsid w:val="00354E70"/>
    <w:rsid w:val="00356AEC"/>
    <w:rsid w:val="0036170E"/>
    <w:rsid w:val="00376B98"/>
    <w:rsid w:val="00383136"/>
    <w:rsid w:val="003860B3"/>
    <w:rsid w:val="00390673"/>
    <w:rsid w:val="00390952"/>
    <w:rsid w:val="003B3012"/>
    <w:rsid w:val="003B55A6"/>
    <w:rsid w:val="003E02EE"/>
    <w:rsid w:val="003E252C"/>
    <w:rsid w:val="003E3F80"/>
    <w:rsid w:val="003F1E34"/>
    <w:rsid w:val="003F54C2"/>
    <w:rsid w:val="003F629A"/>
    <w:rsid w:val="003F7B4D"/>
    <w:rsid w:val="00416574"/>
    <w:rsid w:val="00443C82"/>
    <w:rsid w:val="00446772"/>
    <w:rsid w:val="00452F6A"/>
    <w:rsid w:val="00455EC9"/>
    <w:rsid w:val="004706A0"/>
    <w:rsid w:val="004B0955"/>
    <w:rsid w:val="004C2615"/>
    <w:rsid w:val="004E0014"/>
    <w:rsid w:val="004F0207"/>
    <w:rsid w:val="00503128"/>
    <w:rsid w:val="00512DA2"/>
    <w:rsid w:val="00516B3F"/>
    <w:rsid w:val="00532759"/>
    <w:rsid w:val="00540CAB"/>
    <w:rsid w:val="00540E48"/>
    <w:rsid w:val="0055756D"/>
    <w:rsid w:val="00565AAE"/>
    <w:rsid w:val="00567147"/>
    <w:rsid w:val="0057135F"/>
    <w:rsid w:val="00574477"/>
    <w:rsid w:val="005856BC"/>
    <w:rsid w:val="00594C12"/>
    <w:rsid w:val="005B748F"/>
    <w:rsid w:val="005C200E"/>
    <w:rsid w:val="00632C39"/>
    <w:rsid w:val="00634A09"/>
    <w:rsid w:val="00642666"/>
    <w:rsid w:val="006528E5"/>
    <w:rsid w:val="0067313F"/>
    <w:rsid w:val="00676875"/>
    <w:rsid w:val="00693B1B"/>
    <w:rsid w:val="00694E54"/>
    <w:rsid w:val="006A0BAE"/>
    <w:rsid w:val="006A30A0"/>
    <w:rsid w:val="006B5078"/>
    <w:rsid w:val="006C14FE"/>
    <w:rsid w:val="006C4087"/>
    <w:rsid w:val="006D1561"/>
    <w:rsid w:val="006D6323"/>
    <w:rsid w:val="00707E37"/>
    <w:rsid w:val="00741578"/>
    <w:rsid w:val="00753BA1"/>
    <w:rsid w:val="00754CFA"/>
    <w:rsid w:val="007602C0"/>
    <w:rsid w:val="00761A63"/>
    <w:rsid w:val="00761C1E"/>
    <w:rsid w:val="00762BC2"/>
    <w:rsid w:val="00764656"/>
    <w:rsid w:val="007652EB"/>
    <w:rsid w:val="00774450"/>
    <w:rsid w:val="00797973"/>
    <w:rsid w:val="007A4B19"/>
    <w:rsid w:val="007B4985"/>
    <w:rsid w:val="007B49BC"/>
    <w:rsid w:val="007E219D"/>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A5018"/>
    <w:rsid w:val="008A6527"/>
    <w:rsid w:val="008C0D0D"/>
    <w:rsid w:val="008C3B9C"/>
    <w:rsid w:val="008E39CB"/>
    <w:rsid w:val="00900026"/>
    <w:rsid w:val="00906EC6"/>
    <w:rsid w:val="00915A64"/>
    <w:rsid w:val="0092156C"/>
    <w:rsid w:val="00922133"/>
    <w:rsid w:val="00945976"/>
    <w:rsid w:val="009508B4"/>
    <w:rsid w:val="00964241"/>
    <w:rsid w:val="00964F0F"/>
    <w:rsid w:val="0099009B"/>
    <w:rsid w:val="009A6B38"/>
    <w:rsid w:val="009D1869"/>
    <w:rsid w:val="009D4E5E"/>
    <w:rsid w:val="00A01533"/>
    <w:rsid w:val="00A03008"/>
    <w:rsid w:val="00A0619E"/>
    <w:rsid w:val="00A07F6E"/>
    <w:rsid w:val="00A31397"/>
    <w:rsid w:val="00A40E82"/>
    <w:rsid w:val="00A52D31"/>
    <w:rsid w:val="00A60190"/>
    <w:rsid w:val="00A60806"/>
    <w:rsid w:val="00A66248"/>
    <w:rsid w:val="00A74B4F"/>
    <w:rsid w:val="00A864A1"/>
    <w:rsid w:val="00A91631"/>
    <w:rsid w:val="00AB0264"/>
    <w:rsid w:val="00AE047A"/>
    <w:rsid w:val="00B03AAC"/>
    <w:rsid w:val="00B067A7"/>
    <w:rsid w:val="00B0743F"/>
    <w:rsid w:val="00B15017"/>
    <w:rsid w:val="00B1713A"/>
    <w:rsid w:val="00B24C5F"/>
    <w:rsid w:val="00B318FB"/>
    <w:rsid w:val="00B42A1C"/>
    <w:rsid w:val="00B6668C"/>
    <w:rsid w:val="00B66C10"/>
    <w:rsid w:val="00B723D5"/>
    <w:rsid w:val="00B921FF"/>
    <w:rsid w:val="00B9758B"/>
    <w:rsid w:val="00BC4651"/>
    <w:rsid w:val="00BD16CD"/>
    <w:rsid w:val="00BD4B28"/>
    <w:rsid w:val="00BF22DA"/>
    <w:rsid w:val="00BF68BB"/>
    <w:rsid w:val="00C12F42"/>
    <w:rsid w:val="00C14A68"/>
    <w:rsid w:val="00C33183"/>
    <w:rsid w:val="00C51370"/>
    <w:rsid w:val="00C60EDB"/>
    <w:rsid w:val="00C85230"/>
    <w:rsid w:val="00C91D0B"/>
    <w:rsid w:val="00CD23D5"/>
    <w:rsid w:val="00CD3129"/>
    <w:rsid w:val="00CD676D"/>
    <w:rsid w:val="00CE544F"/>
    <w:rsid w:val="00CE6BFB"/>
    <w:rsid w:val="00CF3F02"/>
    <w:rsid w:val="00D035AF"/>
    <w:rsid w:val="00D27698"/>
    <w:rsid w:val="00D34C0C"/>
    <w:rsid w:val="00D44771"/>
    <w:rsid w:val="00D50419"/>
    <w:rsid w:val="00D51650"/>
    <w:rsid w:val="00D70263"/>
    <w:rsid w:val="00D77ED6"/>
    <w:rsid w:val="00D94DFA"/>
    <w:rsid w:val="00DC186F"/>
    <w:rsid w:val="00DC1ABE"/>
    <w:rsid w:val="00DC4070"/>
    <w:rsid w:val="00DD2B08"/>
    <w:rsid w:val="00DF44EC"/>
    <w:rsid w:val="00DF510E"/>
    <w:rsid w:val="00DF6B97"/>
    <w:rsid w:val="00E11B7A"/>
    <w:rsid w:val="00E16156"/>
    <w:rsid w:val="00E17F24"/>
    <w:rsid w:val="00E259E8"/>
    <w:rsid w:val="00E2690C"/>
    <w:rsid w:val="00E44657"/>
    <w:rsid w:val="00E56456"/>
    <w:rsid w:val="00E611D9"/>
    <w:rsid w:val="00E64E18"/>
    <w:rsid w:val="00EA268A"/>
    <w:rsid w:val="00EA30F2"/>
    <w:rsid w:val="00EB4299"/>
    <w:rsid w:val="00EB765B"/>
    <w:rsid w:val="00EC6302"/>
    <w:rsid w:val="00EC7BD5"/>
    <w:rsid w:val="00ED2469"/>
    <w:rsid w:val="00EE4916"/>
    <w:rsid w:val="00EF0CC1"/>
    <w:rsid w:val="00F03D94"/>
    <w:rsid w:val="00F2037E"/>
    <w:rsid w:val="00F22293"/>
    <w:rsid w:val="00F248DA"/>
    <w:rsid w:val="00F27CA5"/>
    <w:rsid w:val="00F36EF3"/>
    <w:rsid w:val="00F47E82"/>
    <w:rsid w:val="00F5569A"/>
    <w:rsid w:val="00F65D69"/>
    <w:rsid w:val="00F70FEE"/>
    <w:rsid w:val="00F73E6B"/>
    <w:rsid w:val="00FA028C"/>
    <w:rsid w:val="00FA260E"/>
    <w:rsid w:val="00FC24A4"/>
    <w:rsid w:val="00FC7A9F"/>
    <w:rsid w:val="00FE22B0"/>
    <w:rsid w:val="00FE6260"/>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ind w:left="2127"/>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3A118-4F15-408C-B022-7AB365513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4209</TotalTime>
  <Pages>2</Pages>
  <Words>748</Words>
  <Characters>4266</Characters>
  <Application>Microsoft Office Word</Application>
  <DocSecurity>0</DocSecurity>
  <Lines>35</Lines>
  <Paragraphs>10</Paragraphs>
  <ScaleCrop>false</ScaleCrop>
  <Company/>
  <LinksUpToDate>false</LinksUpToDate>
  <CharactersWithSpaces>5004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68</cp:revision>
  <dcterms:created xsi:type="dcterms:W3CDTF">2018-05-17T07:04:00Z</dcterms:created>
  <dcterms:modified xsi:type="dcterms:W3CDTF">2018-09-28T04:26:00Z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(3)ppsOOWa6V68vRRBfJt49mds6pr6HRDQcoRcOMaRvIUJN6ea5kDU84IXtwUjx4HDuKwBQQsQy
/Tx+CBeNmHl7LXUontczZ/f4sHTnNcWEnfX9dxLGQZqH7447PBoMlPJlAF+A14IVTSPW5mNH
EPd7hHmbwxOC4RZd7qc+dtf5NfNGvqrgDHXHYB4oVZja6gvvEGKq+3e/VJMvUaBtGaIRxp5n
jVsrW0WriWzHLdN1LX</vt:lpwstr>
  </property>
  <property fmtid="{D5CDD505-2E9C-101B-9397-08002B2CF9AE}" pid="3" name="_2015_ms_pID_7253431">
    <vt:lpwstr>Va1qLg8qQdod5kixDu5bJnx5ajP70xtppX+uB6xZxA8XLiUayeQDwX
Bu2WKnip5mUrmddxpzwSRrbi+jppGKOn/eelfwJgLF1+iqDxU377ZvmzPs0eEB/51H/1ZG08
MJfWoCMiwstTca465iGe9z9DTsm4+gNShHEnRiolAml3qdT0vYrcWSNDN4eBvpcLwcTYjDzM
yk8hogJKiwY/4lcWjKwL47/vmaw//sAXZaiw</vt:lpwstr>
  </property>
  <property fmtid="{D5CDD505-2E9C-101B-9397-08002B2CF9AE}" pid="4" name="_2015_ms_pID_7253432">
    <vt:lpwstr>z37LFgaQwE7HyDJGweaz0sY=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1538107620</vt:lpwstr>
  </property>
</Properties>
</file>